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320425</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13 - 17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8.7.2.2</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widely discussion around the L1-RSRP measurement. Some controversial issues were concluded with multiple options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autoSpaceDN/>
              <w:bidi w:val="0"/>
              <w:adjustRightInd/>
              <w:snapToGrid/>
              <w:spacing w:before="0" w:after="0" w:line="240" w:lineRule="auto"/>
              <w:textAlignment w:val="auto"/>
              <w:rPr>
                <w:color w:val="auto"/>
              </w:rPr>
            </w:pPr>
            <w:r>
              <w:rPr>
                <w:color w:val="auto"/>
              </w:rPr>
              <w:t>Sub-topic 1-1: General aspects</w:t>
            </w:r>
          </w:p>
          <w:p>
            <w:pPr>
              <w:pageBreakBefore w:val="0"/>
              <w:kinsoku/>
              <w:wordWrap/>
              <w:overflowPunct/>
              <w:topLinePunct w:val="0"/>
              <w:autoSpaceDE/>
              <w:autoSpaceDN/>
              <w:bidi w:val="0"/>
              <w:adjustRightInd/>
              <w:snapToGrid/>
              <w:spacing w:line="240" w:lineRule="auto"/>
              <w:textAlignment w:val="auto"/>
              <w:rPr>
                <w:rFonts w:eastAsia="Yu Mincho"/>
                <w:b/>
                <w:color w:val="auto"/>
                <w:u w:val="single"/>
                <w:lang w:eastAsia="ja-JP"/>
              </w:rPr>
            </w:pPr>
            <w:r>
              <w:rPr>
                <w:rFonts w:eastAsia="Yu Mincho"/>
                <w:b/>
                <w:color w:val="auto"/>
                <w:u w:val="single"/>
                <w:lang w:eastAsia="ja-JP"/>
              </w:rPr>
              <w:t>Issue 1-1-1: General proposals:</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color w:val="auto"/>
                <w:szCs w:val="24"/>
                <w:lang w:eastAsia="zh-CN"/>
              </w:rPr>
            </w:pPr>
            <w:r>
              <w:rPr>
                <w:rFonts w:eastAsia="宋体"/>
                <w:color w:val="auto"/>
                <w:szCs w:val="24"/>
                <w:lang w:eastAsia="zh-CN"/>
              </w:rPr>
              <w:t xml:space="preserve">Proposals </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color w:val="auto"/>
                <w:lang w:val="en-US" w:eastAsia="zh-CN"/>
              </w:rPr>
            </w:pPr>
            <w:r>
              <w:rPr>
                <w:rFonts w:eastAsia="宋体"/>
                <w:color w:val="auto"/>
                <w:szCs w:val="24"/>
                <w:lang w:eastAsia="zh-CN"/>
              </w:rPr>
              <w:t>Option 1: Fast beam sweeping is always enabled if UE supports the UE capability.</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color w:val="auto"/>
                <w:szCs w:val="24"/>
                <w:lang w:eastAsia="zh-CN"/>
              </w:rPr>
            </w:pPr>
            <w:r>
              <w:rPr>
                <w:rFonts w:eastAsia="宋体"/>
                <w:color w:val="auto"/>
                <w:szCs w:val="24"/>
                <w:lang w:eastAsia="zh-CN"/>
              </w:rPr>
              <w:t>Option 2:</w:t>
            </w:r>
            <w:r>
              <w:rPr>
                <w:color w:val="auto"/>
                <w:lang w:val="en-US" w:eastAsia="zh-CN"/>
              </w:rPr>
              <w:t xml:space="preserve"> </w:t>
            </w:r>
            <w:r>
              <w:rPr>
                <w:rFonts w:eastAsia="宋体"/>
                <w:color w:val="auto"/>
                <w:szCs w:val="24"/>
                <w:lang w:eastAsia="zh-CN"/>
              </w:rPr>
              <w:t>Fast beam sweeping is always enabled if UE supports the UE capability and when UE indicates preference of multi-Rx operation</w:t>
            </w:r>
          </w:p>
          <w:p>
            <w:pPr>
              <w:pStyle w:val="4"/>
              <w:pageBreakBefore w:val="0"/>
              <w:kinsoku/>
              <w:wordWrap/>
              <w:overflowPunct/>
              <w:topLinePunct w:val="0"/>
              <w:autoSpaceDE/>
              <w:autoSpaceDN/>
              <w:bidi w:val="0"/>
              <w:adjustRightInd/>
              <w:snapToGrid/>
              <w:spacing w:before="0" w:after="0" w:line="240" w:lineRule="auto"/>
              <w:textAlignment w:val="auto"/>
              <w:rPr>
                <w:bCs/>
                <w:color w:val="auto"/>
                <w:lang w:eastAsia="ko-KR"/>
              </w:rPr>
            </w:pPr>
            <w:r>
              <w:rPr>
                <w:color w:val="auto"/>
                <w:lang w:val="en-US"/>
              </w:rPr>
              <w:t xml:space="preserve">Sub-topic 1-2: Measurement period requirements </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 xml:space="preserve">Issue 1-2-1: Measurement period for L1-RSRP configured for GBBR </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 xml:space="preserve">Background: </w:t>
            </w:r>
          </w:p>
          <w:p>
            <w:pPr>
              <w:pageBreakBefore w:val="0"/>
              <w:kinsoku/>
              <w:wordWrap/>
              <w:overflowPunct/>
              <w:topLinePunct w:val="0"/>
              <w:autoSpaceDE/>
              <w:autoSpaceDN/>
              <w:bidi w:val="0"/>
              <w:adjustRightInd/>
              <w:snapToGrid/>
              <w:spacing w:line="240" w:lineRule="auto"/>
              <w:ind w:left="1296"/>
              <w:textAlignment w:val="auto"/>
              <w:rPr>
                <w:color w:val="auto"/>
                <w:szCs w:val="24"/>
                <w:lang w:eastAsia="zh-CN"/>
              </w:rPr>
            </w:pPr>
            <w:r>
              <w:rPr>
                <w:color w:val="auto"/>
                <w:szCs w:val="24"/>
                <w:lang w:eastAsia="zh-CN"/>
              </w:rPr>
              <w:t>For SSB based L1-RSRP measurements in FR2 the measurement period for GBBR defined as: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5"/>
              <w:gridCol w:w="4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5"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Configuration</w:t>
                  </w:r>
                </w:p>
              </w:tc>
              <w:tc>
                <w:tcPr>
                  <w:tcW w:w="4634"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TL1-RSRP_Measurement_Period_SSB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5"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non-DRX</w:t>
                  </w:r>
                </w:p>
              </w:tc>
              <w:tc>
                <w:tcPr>
                  <w:tcW w:w="4634"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max(TReport, ceil(M*P*N)*TSSB)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5"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DRX cycle ≤ 320ms</w:t>
                  </w:r>
                </w:p>
              </w:tc>
              <w:tc>
                <w:tcPr>
                  <w:tcW w:w="4634"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max(TReport, ceil(1.5*M*P*N)*max(TDRX,TSSB))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5"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DRX cycle &gt; 320ms</w:t>
                  </w:r>
                </w:p>
              </w:tc>
              <w:tc>
                <w:tcPr>
                  <w:tcW w:w="4634"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ceil(1.5*M*P*N)*TDRX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Note 1:</w:t>
                  </w:r>
                  <w:r>
                    <w:rPr>
                      <w:color w:val="auto"/>
                      <w:szCs w:val="24"/>
                      <w:lang w:eastAsia="zh-CN"/>
                    </w:rPr>
                    <w:tab/>
                  </w:r>
                  <w:r>
                    <w:rPr>
                      <w:color w:val="auto"/>
                      <w:szCs w:val="24"/>
                      <w:lang w:eastAsia="zh-CN"/>
                    </w:rPr>
                    <w:t>TSSB = ssb-periodicityServingCell is the periodicity of the SSB-Index configured for L1-RSRP measurement. TDRX is the DRX cycle length. TReport is configured periodicity for reporting.</w:t>
                  </w:r>
                </w:p>
                <w:p>
                  <w:pPr>
                    <w:pageBreakBefore w:val="0"/>
                    <w:kinsoku/>
                    <w:wordWrap/>
                    <w:overflowPunct/>
                    <w:topLinePunct w:val="0"/>
                    <w:autoSpaceDE/>
                    <w:autoSpaceDN/>
                    <w:bidi w:val="0"/>
                    <w:adjustRightInd/>
                    <w:snapToGrid/>
                    <w:spacing w:line="240" w:lineRule="auto"/>
                    <w:textAlignment w:val="auto"/>
                    <w:rPr>
                      <w:color w:val="auto"/>
                      <w:szCs w:val="24"/>
                      <w:lang w:eastAsia="zh-CN"/>
                    </w:rPr>
                  </w:pPr>
                  <w:r>
                    <w:rPr>
                      <w:color w:val="auto"/>
                      <w:szCs w:val="24"/>
                      <w:lang w:eastAsia="zh-CN"/>
                    </w:rPr>
                    <w:t>Note 2:</w:t>
                  </w:r>
                  <w:r>
                    <w:rPr>
                      <w:color w:val="auto"/>
                      <w:szCs w:val="24"/>
                      <w:lang w:eastAsia="zh-CN"/>
                    </w:rPr>
                    <w:tab/>
                  </w:r>
                  <w:r>
                    <w:rPr>
                      <w:color w:val="auto"/>
                      <w:szCs w:val="24"/>
                      <w:lang w:eastAsia="zh-CN"/>
                    </w:rPr>
                    <w:t>N is FFS</w:t>
                  </w:r>
                </w:p>
              </w:tc>
            </w:tr>
          </w:tbl>
          <w:p>
            <w:pPr>
              <w:pStyle w:val="28"/>
              <w:pageBreakBefore w:val="0"/>
              <w:numPr>
                <w:ilvl w:val="0"/>
                <w:numId w:val="5"/>
              </w:numPr>
              <w:kinsoku/>
              <w:wordWrap/>
              <w:overflowPunct/>
              <w:topLinePunct w:val="0"/>
              <w:autoSpaceDE/>
              <w:autoSpaceDN/>
              <w:bidi w:val="0"/>
              <w:adjustRightInd/>
              <w:snapToGrid/>
              <w:spacing w:line="240" w:lineRule="auto"/>
              <w:ind w:left="1176" w:leftChars="0" w:firstLineChars="0"/>
              <w:textAlignment w:val="auto"/>
              <w:rPr>
                <w:color w:val="auto"/>
                <w:szCs w:val="24"/>
                <w:lang w:eastAsia="zh-CN"/>
              </w:rPr>
            </w:pPr>
            <w:r>
              <w:rPr>
                <w:color w:val="auto"/>
                <w:szCs w:val="24"/>
                <w:lang w:eastAsia="zh-CN"/>
              </w:rPr>
              <w:t>N is FFS</w:t>
            </w:r>
          </w:p>
          <w:p>
            <w:pPr>
              <w:pStyle w:val="28"/>
              <w:pageBreakBefore w:val="0"/>
              <w:numPr>
                <w:ilvl w:val="0"/>
                <w:numId w:val="6"/>
              </w:numPr>
              <w:kinsoku/>
              <w:wordWrap/>
              <w:overflowPunct/>
              <w:topLinePunct w:val="0"/>
              <w:autoSpaceDE/>
              <w:autoSpaceDN/>
              <w:bidi w:val="0"/>
              <w:adjustRightInd/>
              <w:snapToGrid/>
              <w:spacing w:line="240" w:lineRule="auto"/>
              <w:ind w:left="1508" w:leftChars="0" w:firstLineChars="0"/>
              <w:textAlignment w:val="auto"/>
              <w:rPr>
                <w:color w:val="auto"/>
                <w:szCs w:val="24"/>
                <w:lang w:eastAsia="zh-CN"/>
              </w:rPr>
            </w:pPr>
            <w:r>
              <w:rPr>
                <w:color w:val="auto"/>
                <w:szCs w:val="24"/>
                <w:lang w:eastAsia="zh-CN"/>
              </w:rPr>
              <w:t>Option 1: N = [reduceNumberRxBeam] for UE supporting faster beam sweeping under multi-Rx operations; otherwise N=8. (vivo, OPPO, QC, HW, ZTE, MTK)</w:t>
            </w:r>
          </w:p>
          <w:p>
            <w:pPr>
              <w:pStyle w:val="28"/>
              <w:pageBreakBefore w:val="0"/>
              <w:numPr>
                <w:ilvl w:val="0"/>
                <w:numId w:val="6"/>
              </w:numPr>
              <w:kinsoku/>
              <w:wordWrap/>
              <w:overflowPunct/>
              <w:topLinePunct w:val="0"/>
              <w:autoSpaceDE/>
              <w:autoSpaceDN/>
              <w:bidi w:val="0"/>
              <w:adjustRightInd/>
              <w:snapToGrid/>
              <w:spacing w:line="240" w:lineRule="auto"/>
              <w:ind w:left="1508" w:leftChars="0" w:firstLineChars="0"/>
              <w:textAlignment w:val="auto"/>
              <w:rPr>
                <w:color w:val="auto"/>
                <w:szCs w:val="24"/>
                <w:lang w:eastAsia="zh-CN"/>
              </w:rPr>
            </w:pPr>
            <w:r>
              <w:rPr>
                <w:color w:val="auto"/>
                <w:szCs w:val="24"/>
                <w:lang w:eastAsia="zh-CN"/>
              </w:rPr>
              <w:t>Option 2: N = 8 + K, where K is the number of SSBs in each CMR set (Apple)</w:t>
            </w:r>
          </w:p>
          <w:p>
            <w:pPr>
              <w:pStyle w:val="28"/>
              <w:pageBreakBefore w:val="0"/>
              <w:numPr>
                <w:ilvl w:val="0"/>
                <w:numId w:val="6"/>
              </w:numPr>
              <w:kinsoku/>
              <w:wordWrap/>
              <w:overflowPunct/>
              <w:topLinePunct w:val="0"/>
              <w:autoSpaceDE/>
              <w:autoSpaceDN/>
              <w:bidi w:val="0"/>
              <w:adjustRightInd/>
              <w:snapToGrid/>
              <w:spacing w:line="240" w:lineRule="auto"/>
              <w:ind w:left="1508" w:leftChars="0" w:firstLineChars="0"/>
              <w:textAlignment w:val="auto"/>
              <w:rPr>
                <w:b/>
                <w:color w:val="auto"/>
                <w:u w:val="single"/>
                <w:lang w:eastAsia="ko-KR"/>
              </w:rPr>
            </w:pPr>
            <w:r>
              <w:rPr>
                <w:rFonts w:eastAsia="宋体"/>
                <w:color w:val="auto"/>
                <w:szCs w:val="24"/>
                <w:lang w:eastAsia="zh-CN"/>
              </w:rPr>
              <w:t>FFS: For CSI-RS based L1-RSRP measurements in FR2, the existing L1-RSRP measurement period is reused when configured for GBBR.</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1-2-2 a: measurement period for SSB based L1-RSRP</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color w:val="auto"/>
                <w:szCs w:val="24"/>
                <w:lang w:eastAsia="zh-CN"/>
              </w:rPr>
            </w:pPr>
            <w:r>
              <w:rPr>
                <w:rFonts w:eastAsia="宋体"/>
                <w:color w:val="auto"/>
                <w:szCs w:val="24"/>
                <w:lang w:eastAsia="zh-CN"/>
              </w:rPr>
              <w:t>Way forward: Companies are requested to bring further analysis.</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color w:val="auto"/>
                <w:szCs w:val="24"/>
                <w:lang w:eastAsia="zh-CN"/>
              </w:rPr>
            </w:pPr>
            <w:r>
              <w:rPr>
                <w:rFonts w:eastAsia="宋体"/>
                <w:color w:val="auto"/>
                <w:szCs w:val="24"/>
                <w:lang w:eastAsia="zh-CN"/>
              </w:rPr>
              <w:t>option 1:  N = [reduceNumberRxBeam] for UE supporting faster beam sweeping under multi-Rx operations; otherwise, N=8</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color w:val="auto"/>
                <w:szCs w:val="24"/>
                <w:lang w:eastAsia="zh-CN"/>
              </w:rPr>
            </w:pPr>
            <w:r>
              <w:rPr>
                <w:color w:val="auto"/>
                <w:szCs w:val="24"/>
                <w:highlight w:val="yellow"/>
                <w:lang w:eastAsia="zh-CN"/>
              </w:rPr>
              <w:t>Option 2: N = 8 + K, where K is the number of SSBs in each CMR set (Apple)</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1-2-2 b: measurement period for CSI-RS based L1-RSRP</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color w:val="auto"/>
                <w:szCs w:val="24"/>
                <w:lang w:eastAsia="zh-CN"/>
              </w:rPr>
            </w:pPr>
            <w:r>
              <w:rPr>
                <w:rFonts w:eastAsia="宋体"/>
                <w:color w:val="auto"/>
                <w:szCs w:val="24"/>
                <w:lang w:eastAsia="zh-CN"/>
              </w:rPr>
              <w:t>Way forward: Companies are requested to bring further analysis.</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color w:val="auto"/>
                <w:szCs w:val="24"/>
                <w:lang w:eastAsia="zh-CN"/>
              </w:rPr>
            </w:pPr>
            <w:r>
              <w:rPr>
                <w:rFonts w:eastAsia="宋体"/>
                <w:color w:val="auto"/>
                <w:szCs w:val="24"/>
                <w:lang w:eastAsia="zh-CN"/>
              </w:rPr>
              <w:t>Option 1: For CSI-RS based L1-RSRP measurements in FR2, the existing L1-RSRP measurement period is reused when configured for GBBR.</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
                <w:bCs/>
                <w:color w:val="auto"/>
                <w:lang w:val="en-US" w:eastAsia="zh-CN"/>
              </w:rPr>
            </w:pPr>
            <w:r>
              <w:rPr>
                <w:rFonts w:eastAsia="宋体"/>
                <w:color w:val="auto"/>
                <w:szCs w:val="24"/>
                <w:highlight w:val="yellow"/>
                <w:lang w:eastAsia="zh-CN"/>
              </w:rPr>
              <w:t>Option 2: N = ceil(maxNumberRxBeam / K) + 1, where K is the number of CSI-RSs in each CMR set</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bookmarkStart w:id="0" w:name="_Hlk143075246"/>
            <w:r>
              <w:rPr>
                <w:b/>
                <w:color w:val="auto"/>
                <w:u w:val="single"/>
                <w:lang w:eastAsia="ko-KR"/>
              </w:rPr>
              <w:t>Issue 1-2-3: Measurement period for non-GBBR (i.e., measurement period of L1-RSRP not configured for GBBR)</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b/>
                <w:bCs/>
                <w:color w:val="auto"/>
                <w:szCs w:val="24"/>
                <w:u w:val="single"/>
                <w:lang w:eastAsia="zh-CN"/>
              </w:rPr>
            </w:pPr>
            <w:r>
              <w:rPr>
                <w:rFonts w:eastAsia="宋体"/>
                <w:color w:val="auto"/>
                <w:szCs w:val="24"/>
                <w:lang w:eastAsia="zh-CN"/>
              </w:rPr>
              <w:t>Way forward: Companies are requested to bring further analysis to next meeting</w:t>
            </w:r>
            <w:bookmarkEnd w:id="0"/>
          </w:p>
          <w:p>
            <w:pPr>
              <w:pageBreakBefore w:val="0"/>
              <w:kinsoku/>
              <w:wordWrap/>
              <w:overflowPunct/>
              <w:topLinePunct w:val="0"/>
              <w:autoSpaceDE/>
              <w:autoSpaceDN/>
              <w:bidi w:val="0"/>
              <w:adjustRightInd/>
              <w:snapToGrid/>
              <w:spacing w:line="240" w:lineRule="auto"/>
              <w:textAlignment w:val="auto"/>
              <w:rPr>
                <w:b/>
                <w:bCs/>
                <w:color w:val="auto"/>
                <w:szCs w:val="24"/>
                <w:u w:val="single"/>
                <w:lang w:eastAsia="zh-CN"/>
              </w:rPr>
            </w:pPr>
            <w:r>
              <w:rPr>
                <w:b/>
                <w:bCs/>
                <w:color w:val="auto"/>
                <w:szCs w:val="24"/>
                <w:u w:val="single"/>
                <w:lang w:eastAsia="zh-CN"/>
              </w:rPr>
              <w:t xml:space="preserve">Issue 1-2-4: Conditions for enhanced requirements for L1-RSRP not configured with GBBR </w:t>
            </w:r>
          </w:p>
          <w:p>
            <w:pPr>
              <w:pStyle w:val="28"/>
              <w:pageBreakBefore w:val="0"/>
              <w:numPr>
                <w:ilvl w:val="0"/>
                <w:numId w:val="7"/>
              </w:numPr>
              <w:kinsoku/>
              <w:wordWrap/>
              <w:overflowPunct/>
              <w:topLinePunct w:val="0"/>
              <w:autoSpaceDE/>
              <w:autoSpaceDN/>
              <w:bidi w:val="0"/>
              <w:adjustRightInd/>
              <w:snapToGrid/>
              <w:spacing w:line="240" w:lineRule="auto"/>
              <w:ind w:firstLineChars="0"/>
              <w:textAlignment w:val="auto"/>
              <w:rPr>
                <w:color w:val="auto"/>
                <w:lang w:val="en-US" w:eastAsia="zh-CN"/>
              </w:rPr>
            </w:pPr>
            <w:r>
              <w:rPr>
                <w:rFonts w:eastAsia="宋体"/>
                <w:color w:val="auto"/>
                <w:szCs w:val="24"/>
                <w:lang w:eastAsia="zh-CN"/>
              </w:rPr>
              <w:t>Way forward: Companies are requested to bring further analysis to next meeting</w:t>
            </w:r>
          </w:p>
          <w:p>
            <w:pPr>
              <w:pStyle w:val="4"/>
              <w:pageBreakBefore w:val="0"/>
              <w:kinsoku/>
              <w:wordWrap/>
              <w:overflowPunct/>
              <w:topLinePunct w:val="0"/>
              <w:autoSpaceDE/>
              <w:autoSpaceDN/>
              <w:bidi w:val="0"/>
              <w:adjustRightInd/>
              <w:snapToGrid/>
              <w:spacing w:before="0" w:after="0" w:line="240" w:lineRule="auto"/>
              <w:textAlignment w:val="auto"/>
              <w:rPr>
                <w:color w:val="auto"/>
                <w:lang w:val="en-US"/>
              </w:rPr>
            </w:pPr>
            <w:r>
              <w:rPr>
                <w:color w:val="auto"/>
                <w:lang w:val="en-US"/>
              </w:rPr>
              <w:t xml:space="preserve">Sub-topic 1-3: Others  </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1-3-1: Shall L1-SINR requirements be defined for the multi-RX UE</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i/>
                <w:color w:val="auto"/>
                <w:lang w:val="en-US" w:eastAsia="zh-CN"/>
              </w:rPr>
            </w:pPr>
            <w:r>
              <w:rPr>
                <w:rFonts w:eastAsia="宋体"/>
                <w:color w:val="auto"/>
                <w:szCs w:val="24"/>
                <w:lang w:eastAsia="zh-CN"/>
              </w:rPr>
              <w:t>Way forward: Companies are requested to bring further analysis to next meeting</w:t>
            </w:r>
          </w:p>
          <w:p>
            <w:pPr>
              <w:pageBreakBefore w:val="0"/>
              <w:tabs>
                <w:tab w:val="left" w:pos="7656"/>
              </w:tabs>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1-3-2a: Measurement period for L1-SINR (based on conclusion of issue 1-3-1)</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color w:val="auto"/>
                <w:lang w:val="en-US" w:eastAsia="zh-CN"/>
              </w:rPr>
            </w:pPr>
            <w:r>
              <w:rPr>
                <w:rFonts w:eastAsia="宋体"/>
                <w:color w:val="auto"/>
                <w:szCs w:val="24"/>
                <w:lang w:eastAsia="zh-CN"/>
              </w:rPr>
              <w:t>Way forward: Companies are requested to bring further analysis to next meeting</w:t>
            </w:r>
          </w:p>
          <w:p>
            <w:pPr>
              <w:pageBreakBefore w:val="0"/>
              <w:tabs>
                <w:tab w:val="left" w:pos="7656"/>
              </w:tabs>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1-3-2b: Other enhancements for L1-SINR (based on conclusion of issue 1-3-1)</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color w:val="auto"/>
                <w:lang w:val="en-US" w:eastAsia="zh-CN"/>
              </w:rPr>
            </w:pPr>
            <w:r>
              <w:rPr>
                <w:rFonts w:eastAsia="宋体"/>
                <w:color w:val="auto"/>
                <w:szCs w:val="24"/>
                <w:lang w:eastAsia="zh-CN"/>
              </w:rPr>
              <w:t>Way forward: Companies are requested to bring further analysis to next meeting</w:t>
            </w:r>
          </w:p>
          <w:p>
            <w:pPr>
              <w:pageBreakBefore w:val="0"/>
              <w:kinsoku/>
              <w:wordWrap/>
              <w:overflowPunct/>
              <w:topLinePunct w:val="0"/>
              <w:autoSpaceDE/>
              <w:autoSpaceDN/>
              <w:bidi w:val="0"/>
              <w:adjustRightInd/>
              <w:snapToGrid/>
              <w:spacing w:line="240" w:lineRule="auto"/>
              <w:textAlignment w:val="auto"/>
              <w:rPr>
                <w:b/>
                <w:color w:val="auto"/>
                <w:u w:val="single"/>
                <w:lang w:eastAsia="ko-KR"/>
              </w:rPr>
            </w:pPr>
            <w:r>
              <w:rPr>
                <w:b/>
                <w:color w:val="auto"/>
                <w:u w:val="single"/>
                <w:lang w:eastAsia="ko-KR"/>
              </w:rPr>
              <w:t>Issue 1-3-3: UE behaviour at transitions between single-RX and multi-RX operation modes</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hint="default" w:ascii="Times New Roman" w:hAnsi="Times New Roman" w:eastAsia="Times New Roman" w:cs="Times New Roman"/>
                <w:bCs/>
                <w:color w:val="auto"/>
                <w:kern w:val="0"/>
                <w:sz w:val="20"/>
                <w:szCs w:val="24"/>
                <w:lang w:val="en-US" w:eastAsia="zh-CN" w:bidi="ar-SA"/>
              </w:rPr>
            </w:pPr>
            <w:r>
              <w:rPr>
                <w:rFonts w:eastAsia="宋体"/>
                <w:color w:val="auto"/>
                <w:szCs w:val="24"/>
                <w:lang w:eastAsia="zh-CN"/>
              </w:rPr>
              <w:t>Way forward: Companies are requested to bring further analysis to next meeting</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issues.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General aspects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Measurement period requirements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Others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2.1 General aspects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Besides the enhancement on measurement/scheduling restriction, fast beam sweeping is another enhancement approved in this WID during previous meeting. While the concrete conditions regarding fast beam sweeping is not discussed before and still vacant. Since whether fast beam sweeping can be applied in the GBBR measurement and non-GBBR measurement is still in discussion, if the answer is yes, then the measurement requirements would be enhanced due to fast beam sweeping. So identifying the condition of applying fast beam sweeping is very important.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3"/>
              </w:numPr>
              <w:kinsoku/>
              <w:wordWrap/>
              <w:overflowPunct/>
              <w:topLinePunct w:val="0"/>
              <w:autoSpaceDE/>
              <w:autoSpaceDN/>
              <w:bidi w:val="0"/>
              <w:adjustRightInd/>
              <w:snapToGrid/>
              <w:ind w:left="816" w:hanging="363" w:firstLineChars="0"/>
              <w:textAlignment w:val="auto"/>
              <w:rPr>
                <w:color w:val="auto"/>
                <w:lang w:val="en-US" w:eastAsia="zh-CN"/>
              </w:rPr>
            </w:pPr>
            <w:r>
              <w:rPr>
                <w:rFonts w:eastAsia="宋体"/>
                <w:color w:val="auto"/>
                <w:szCs w:val="24"/>
                <w:lang w:eastAsia="zh-CN"/>
              </w:rPr>
              <w:t>Option 1: Fast beam sweeping is always enabled if UE supports the UE capability.</w:t>
            </w:r>
          </w:p>
          <w:p>
            <w:pPr>
              <w:pStyle w:val="28"/>
              <w:keepNext w:val="0"/>
              <w:keepLines w:val="0"/>
              <w:pageBreakBefore w:val="0"/>
              <w:widowControl w:val="0"/>
              <w:numPr>
                <w:ilvl w:val="1"/>
                <w:numId w:val="3"/>
              </w:numPr>
              <w:kinsoku/>
              <w:wordWrap/>
              <w:overflowPunct/>
              <w:topLinePunct w:val="0"/>
              <w:autoSpaceDE/>
              <w:autoSpaceDN/>
              <w:bidi w:val="0"/>
              <w:adjustRightInd/>
              <w:snapToGrid/>
              <w:ind w:left="816" w:hanging="363" w:firstLineChars="0"/>
              <w:textAlignment w:val="auto"/>
              <w:rPr>
                <w:rFonts w:hint="default" w:eastAsia="宋体"/>
                <w:color w:val="auto"/>
                <w:sz w:val="20"/>
                <w:szCs w:val="20"/>
                <w:vertAlign w:val="baseline"/>
                <w:lang w:val="en-US" w:eastAsia="zh-CN"/>
              </w:rPr>
            </w:pPr>
            <w:r>
              <w:rPr>
                <w:rFonts w:eastAsia="宋体"/>
                <w:color w:val="auto"/>
                <w:szCs w:val="24"/>
                <w:lang w:eastAsia="zh-CN"/>
              </w:rPr>
              <w:t>Option 2:</w:t>
            </w:r>
            <w:r>
              <w:rPr>
                <w:color w:val="auto"/>
                <w:lang w:val="en-US" w:eastAsia="zh-CN"/>
              </w:rPr>
              <w:t xml:space="preserve"> </w:t>
            </w:r>
            <w:r>
              <w:rPr>
                <w:rFonts w:eastAsia="宋体"/>
                <w:color w:val="auto"/>
                <w:szCs w:val="24"/>
                <w:lang w:eastAsia="zh-CN"/>
              </w:rPr>
              <w:t>Fast beam sweeping is always enabled if UE supports the UE capability and when UE indicates preference of multi-Rx operation</w:t>
            </w:r>
          </w:p>
        </w:tc>
      </w:tr>
    </w:tbl>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 xml:space="preserve">It should be noted that in the topic of R18 FR2 SCell activation, fast beam sweeping is introduced for L3 measurement and L1 measurement during the unknown SCell activation procedure, with the prerequisite of full set beam sweeping has been performed in previous step. Here, we believe a similar kind of fast beam sweeping is also feasible on top of some prior information. E.g. the UE has derived the sub-set of beam coverage for each panel based on the previous L3 measurement as shown in Figure 1 and 2. As a result, for the receiving of RS or PDSCH/PDCCH, UE can predict which panel is involved in, so only a sub-set of beam sweeping(corresponding the relevant panel) is performed, so N can be reduced from 8 to [4]. Under this assumption, the fast beam sweeping is not always tied with the multi-panel operation, as long as UE can derive the relationship between multiple sub-set of beams and multiple panels, UE can determine which sub-set of beams should be swept based on the TCI state of QCL-D of the PDSCH/PDCCH or RS to be received. Fast beam sweeping can be achieved. Whether such kind of fast beam sweeping requires multi-panel operation during the fast beam sweeping, we are open to discuss, at least when UE performs fast beam sweeping, only a single panel is involved in. </w:t>
      </w:r>
    </w:p>
    <w:p>
      <w:pPr>
        <w:pStyle w:val="8"/>
        <w:numPr>
          <w:ilvl w:val="0"/>
          <w:numId w:val="0"/>
        </w:numPr>
        <w:tabs>
          <w:tab w:val="left" w:pos="226"/>
          <w:tab w:val="left" w:pos="284"/>
          <w:tab w:val="left" w:pos="5103"/>
        </w:tabs>
        <w:snapToGrid w:val="0"/>
        <w:spacing w:before="156" w:beforeLines="50"/>
        <w:ind w:leftChars="0"/>
        <w:jc w:val="center"/>
      </w:pPr>
      <w:r>
        <w:drawing>
          <wp:inline distT="0" distB="0" distL="114300" distR="114300">
            <wp:extent cx="2850515" cy="1660525"/>
            <wp:effectExtent l="0" t="0" r="146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2850515" cy="1660525"/>
                    </a:xfrm>
                    <a:prstGeom prst="rect">
                      <a:avLst/>
                    </a:prstGeom>
                    <a:noFill/>
                    <a:ln>
                      <a:noFill/>
                    </a:ln>
                  </pic:spPr>
                </pic:pic>
              </a:graphicData>
            </a:graphic>
          </wp:inline>
        </w:drawing>
      </w:r>
    </w:p>
    <w:p>
      <w:pPr>
        <w:pStyle w:val="8"/>
        <w:numPr>
          <w:ilvl w:val="0"/>
          <w:numId w:val="0"/>
        </w:numPr>
        <w:tabs>
          <w:tab w:val="left" w:pos="226"/>
          <w:tab w:val="left" w:pos="284"/>
          <w:tab w:val="left" w:pos="5103"/>
        </w:tabs>
        <w:snapToGrid w:val="0"/>
        <w:spacing w:before="156" w:beforeLines="50"/>
        <w:ind w:leftChars="0"/>
        <w:jc w:val="center"/>
        <w:rPr>
          <w:rFonts w:hint="eastAsia" w:eastAsia="宋体"/>
          <w:lang w:val="en-US" w:eastAsia="zh-CN"/>
        </w:rPr>
      </w:pPr>
      <w:r>
        <w:rPr>
          <w:rFonts w:hint="eastAsia" w:eastAsia="宋体"/>
          <w:lang w:val="en-US" w:eastAsia="zh-CN"/>
        </w:rPr>
        <w:t>Figure 1. Two sub set of beams for two panels respectively</w:t>
      </w:r>
    </w:p>
    <w:p>
      <w:pPr>
        <w:pStyle w:val="8"/>
        <w:numPr>
          <w:ilvl w:val="0"/>
          <w:numId w:val="0"/>
        </w:numPr>
        <w:tabs>
          <w:tab w:val="left" w:pos="226"/>
          <w:tab w:val="left" w:pos="284"/>
          <w:tab w:val="left" w:pos="5103"/>
        </w:tabs>
        <w:snapToGrid w:val="0"/>
        <w:spacing w:before="156" w:beforeLines="50"/>
        <w:ind w:leftChars="0"/>
        <w:jc w:val="center"/>
      </w:pPr>
      <w:r>
        <w:drawing>
          <wp:inline distT="0" distB="0" distL="114300" distR="114300">
            <wp:extent cx="3413760" cy="1459230"/>
            <wp:effectExtent l="0" t="0" r="0" b="381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6"/>
                    <a:stretch>
                      <a:fillRect/>
                    </a:stretch>
                  </pic:blipFill>
                  <pic:spPr>
                    <a:xfrm>
                      <a:off x="0" y="0"/>
                      <a:ext cx="3413760" cy="1459230"/>
                    </a:xfrm>
                    <a:prstGeom prst="rect">
                      <a:avLst/>
                    </a:prstGeom>
                    <a:noFill/>
                    <a:ln>
                      <a:noFill/>
                    </a:ln>
                  </pic:spPr>
                </pic:pic>
              </a:graphicData>
            </a:graphic>
          </wp:inline>
        </w:drawing>
      </w:r>
    </w:p>
    <w:p>
      <w:pPr>
        <w:pStyle w:val="8"/>
        <w:numPr>
          <w:ilvl w:val="0"/>
          <w:numId w:val="0"/>
        </w:numPr>
        <w:tabs>
          <w:tab w:val="left" w:pos="226"/>
          <w:tab w:val="left" w:pos="284"/>
          <w:tab w:val="left" w:pos="5103"/>
        </w:tabs>
        <w:snapToGrid w:val="0"/>
        <w:spacing w:before="156" w:beforeLines="50"/>
        <w:ind w:leftChars="0"/>
        <w:jc w:val="center"/>
        <w:rPr>
          <w:rFonts w:hint="default" w:eastAsia="宋体"/>
          <w:lang w:val="en-US" w:eastAsia="zh-CN"/>
        </w:rPr>
      </w:pPr>
      <w:r>
        <w:rPr>
          <w:rFonts w:hint="eastAsia" w:eastAsia="宋体"/>
          <w:lang w:val="en-US" w:eastAsia="zh-CN"/>
        </w:rPr>
        <w:t>Figure 2. Two SSB received by two sub set of beams</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Observation 1: Alternative 1 of fast beam sweeping is: UE derives the relationship between multiple sub-set of beams and multiple panels through some prior information, so for the receiving of RS or PDSCH/PDCCH, UE can predict which panel is involved in, so only a sub-set of beam sweeping(corresponding the relevant panel) is performed, N can be reduced from 8 to [4].</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Another assumption of fast beam sweeping is that UE detects a pair of beams at each sample in parallel via two panels. So at each SSB instance, the UE can detect the RSRP received by each panel. From the perspective of panel 0 reception, the RSRP received by panel 0 is deemed as useful signal, and the RSRP received by panel 1 is deemed as interference signal. So as to go through the full set of beam directions by each panel, then still N = 8 is needed as shown in Figure 3.</w:t>
      </w:r>
    </w:p>
    <w:p>
      <w:pPr>
        <w:pStyle w:val="8"/>
        <w:tabs>
          <w:tab w:val="left" w:pos="226"/>
          <w:tab w:val="left" w:pos="284"/>
          <w:tab w:val="left" w:pos="5103"/>
        </w:tabs>
        <w:snapToGrid w:val="0"/>
        <w:spacing w:before="156" w:beforeLines="50"/>
      </w:pPr>
      <w:r>
        <w:drawing>
          <wp:inline distT="0" distB="0" distL="114300" distR="114300">
            <wp:extent cx="5901055" cy="735330"/>
            <wp:effectExtent l="0" t="0" r="12065"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5901055" cy="735330"/>
                    </a:xfrm>
                    <a:prstGeom prst="rect">
                      <a:avLst/>
                    </a:prstGeom>
                    <a:noFill/>
                    <a:ln>
                      <a:noFill/>
                    </a:ln>
                  </pic:spPr>
                </pic:pic>
              </a:graphicData>
            </a:graphic>
          </wp:inline>
        </w:drawing>
      </w:r>
    </w:p>
    <w:p>
      <w:pPr>
        <w:pStyle w:val="8"/>
        <w:numPr>
          <w:ilvl w:val="0"/>
          <w:numId w:val="0"/>
        </w:numPr>
        <w:tabs>
          <w:tab w:val="left" w:pos="226"/>
          <w:tab w:val="left" w:pos="284"/>
          <w:tab w:val="left" w:pos="5103"/>
        </w:tabs>
        <w:snapToGrid w:val="0"/>
        <w:spacing w:before="156" w:beforeLines="50"/>
        <w:ind w:leftChars="0"/>
        <w:jc w:val="center"/>
        <w:rPr>
          <w:rFonts w:hint="default"/>
          <w:lang w:val="en-US" w:eastAsia="zh-CN"/>
        </w:rPr>
      </w:pPr>
      <w:r>
        <w:rPr>
          <w:rFonts w:hint="eastAsia" w:eastAsia="宋体"/>
          <w:lang w:val="en-US" w:eastAsia="zh-CN"/>
        </w:rPr>
        <w:t>Figure 3. Full set beam sweeping by two panels in parallel</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Whereas if a single panel only cover a sub set of beams, e.g. panel 0 covers beam#0-3, and panel 1 covers beam#4-7, then only N/2 samples is enough to sweep N beams. Under such assumption, of course multi-panel operation should be guaranteed during the fast beam sweeping, as shown in Figure 4 and 5.</w:t>
      </w:r>
    </w:p>
    <w:p>
      <w:pPr>
        <w:pStyle w:val="8"/>
        <w:tabs>
          <w:tab w:val="left" w:pos="226"/>
          <w:tab w:val="left" w:pos="284"/>
          <w:tab w:val="left" w:pos="5103"/>
        </w:tabs>
        <w:snapToGrid w:val="0"/>
        <w:spacing w:before="156" w:beforeLines="50"/>
      </w:pPr>
      <w:r>
        <w:drawing>
          <wp:inline distT="0" distB="0" distL="114300" distR="114300">
            <wp:extent cx="5897245" cy="1335405"/>
            <wp:effectExtent l="0" t="0" r="63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897245" cy="13354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eastAsia" w:eastAsia="宋体"/>
          <w:lang w:val="en-US" w:eastAsia="zh-CN"/>
        </w:rPr>
      </w:pPr>
      <w:r>
        <w:rPr>
          <w:rFonts w:hint="eastAsia" w:eastAsia="宋体"/>
          <w:lang w:val="en-US" w:eastAsia="zh-CN"/>
        </w:rPr>
        <w:t>Figure 4. Simultaneous beam pair detection in fast beam sweeping</w:t>
      </w:r>
    </w:p>
    <w:p>
      <w:pPr>
        <w:pStyle w:val="8"/>
        <w:tabs>
          <w:tab w:val="left" w:pos="226"/>
          <w:tab w:val="left" w:pos="284"/>
          <w:tab w:val="left" w:pos="5103"/>
        </w:tabs>
        <w:snapToGrid w:val="0"/>
        <w:spacing w:before="156" w:beforeLines="50"/>
        <w:jc w:val="center"/>
      </w:pPr>
      <w:r>
        <w:drawing>
          <wp:inline distT="0" distB="0" distL="114300" distR="114300">
            <wp:extent cx="5280660" cy="131064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280660" cy="131064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lang w:val="en-US" w:eastAsia="zh-CN"/>
        </w:rPr>
      </w:pPr>
      <w:r>
        <w:rPr>
          <w:rFonts w:hint="eastAsia" w:eastAsia="宋体"/>
          <w:lang w:val="en-US" w:eastAsia="zh-CN"/>
        </w:rPr>
        <w:t xml:space="preserve">Figure 5. Two SSB received by two sub set of beams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Alternative 2 of fast beam sweeping is: UE detects a pair of beams at each RS instance in parallel by two panels, and each panel covers a sub set of beams. Then the N can be reduced to [4] from 8. The multi-panel operation should be guaranteed during the fast beam sweeping.</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olor w:val="auto"/>
          <w:sz w:val="20"/>
          <w:szCs w:val="20"/>
          <w:lang w:val="en-US" w:eastAsia="zh-CN"/>
        </w:rPr>
        <w:t>Compared with the two alternatives, it seems that the latter is more benefit than the former since UE can derive interference info during the fast beam sweeping, with the price of allowing multi-panel operation.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Under different implementation assumption of fast beam sweeping, whether need to guarantee the multi-panel operation, which is different. So first to align companies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view on the implementation assumption of fast beam sweeping.</w:t>
      </w:r>
    </w:p>
    <w:p>
      <w:pPr>
        <w:pStyle w:val="3"/>
        <w:bidi w:val="0"/>
        <w:rPr>
          <w:rFonts w:hint="eastAsia" w:ascii="Helvetica" w:hAnsi="Helvetica" w:eastAsia="宋体" w:cs="Times New Roman"/>
          <w:b/>
          <w:bCs/>
          <w:iCs w:val="0"/>
          <w:strike w:val="0"/>
          <w:dstrike w:val="0"/>
          <w:color w:val="auto"/>
          <w:kern w:val="32"/>
          <w:sz w:val="28"/>
          <w:szCs w:val="32"/>
          <w:lang w:val="en-US" w:eastAsia="zh-CN" w:bidi="ar-SA"/>
        </w:rPr>
      </w:pPr>
      <w:r>
        <w:rPr>
          <w:rFonts w:hint="eastAsia" w:ascii="Helvetica" w:hAnsi="Helvetica" w:eastAsia="宋体" w:cs="Times New Roman"/>
          <w:b/>
          <w:bCs/>
          <w:iCs w:val="0"/>
          <w:strike w:val="0"/>
          <w:dstrike w:val="0"/>
          <w:color w:val="auto"/>
          <w:kern w:val="32"/>
          <w:sz w:val="28"/>
          <w:szCs w:val="32"/>
          <w:lang w:val="en-US" w:eastAsia="zh-CN" w:bidi="ar-SA"/>
        </w:rPr>
        <w:t>2.</w:t>
      </w:r>
      <w:r>
        <w:rPr>
          <w:rFonts w:hint="eastAsia" w:eastAsia="宋体" w:cs="Times New Roman"/>
          <w:b/>
          <w:bCs/>
          <w:iCs w:val="0"/>
          <w:strike w:val="0"/>
          <w:dstrike w:val="0"/>
          <w:color w:val="auto"/>
          <w:kern w:val="32"/>
          <w:sz w:val="28"/>
          <w:szCs w:val="32"/>
          <w:lang w:val="en-US" w:eastAsia="zh-CN" w:bidi="ar-SA"/>
        </w:rPr>
        <w:t>2</w:t>
      </w:r>
      <w:r>
        <w:rPr>
          <w:rFonts w:hint="eastAsia" w:ascii="Helvetica" w:hAnsi="Helvetica" w:eastAsia="宋体" w:cs="Times New Roman"/>
          <w:b/>
          <w:bCs/>
          <w:iCs w:val="0"/>
          <w:strike w:val="0"/>
          <w:dstrike w:val="0"/>
          <w:color w:val="auto"/>
          <w:kern w:val="32"/>
          <w:sz w:val="28"/>
          <w:szCs w:val="32"/>
          <w:lang w:val="en-US" w:eastAsia="zh-CN" w:bidi="ar-SA"/>
        </w:rPr>
        <w:t xml:space="preserve"> Measurement period requirements</w:t>
      </w:r>
    </w:p>
    <w:p>
      <w:pPr>
        <w:bidi w:val="0"/>
        <w:rPr>
          <w:rFonts w:hint="default"/>
          <w:u w:val="single"/>
          <w:lang w:val="en-US" w:eastAsia="zh-CN"/>
        </w:rPr>
      </w:pPr>
      <w:r>
        <w:rPr>
          <w:rFonts w:hint="eastAsia"/>
          <w:u w:val="single"/>
          <w:lang w:val="en-US" w:eastAsia="zh-CN"/>
        </w:rPr>
        <w:t>The enhanced measurement requirements for GBBR</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SSB based, the following agreements were achieved in previous meetings regarding the measurement requirement of GBBR.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9"/>
              </w:numPr>
              <w:overflowPunct w:val="0"/>
              <w:autoSpaceDE w:val="0"/>
              <w:autoSpaceDN w:val="0"/>
              <w:adjustRightInd w:val="0"/>
              <w:spacing w:line="252" w:lineRule="auto"/>
              <w:ind w:left="360" w:leftChars="0" w:firstLineChars="0"/>
              <w:rPr>
                <w:bCs/>
              </w:rPr>
            </w:pPr>
            <w:r>
              <w:rPr>
                <w:bCs/>
                <w:highlight w:val="green"/>
              </w:rPr>
              <w:t>Agreements</w:t>
            </w:r>
          </w:p>
          <w:p>
            <w:pPr>
              <w:pStyle w:val="28"/>
              <w:numPr>
                <w:ilvl w:val="0"/>
                <w:numId w:val="9"/>
              </w:numPr>
              <w:ind w:left="660" w:leftChars="0"/>
              <w:rPr>
                <w:bCs/>
              </w:rPr>
            </w:pPr>
            <w:r>
              <w:rPr>
                <w:bCs/>
              </w:rPr>
              <w:t>For SSB based L1-RSRP measurements in FR2 the measurement period for GBBR defined as: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ind w:left="1296"/>
                    <w:rPr>
                      <w:rFonts w:eastAsia="Yu Mincho"/>
                      <w:iCs/>
                      <w:lang w:eastAsia="ja-JP"/>
                    </w:rPr>
                  </w:pPr>
                  <w:r>
                    <w:rPr>
                      <w:rFonts w:eastAsia="Yu Mincho"/>
                      <w:iCs/>
                      <w:lang w:eastAsia="ja-JP"/>
                    </w:rPr>
                    <w:t>Configuration</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TL1-RSRP_Measurement_Period_SSB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non-DRX</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ceil(M*P*N)*T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 xml:space="preserve">DRX cycle </w:t>
                  </w:r>
                  <w:r>
                    <w:rPr>
                      <w:rFonts w:hint="eastAsia" w:eastAsia="Yu Mincho"/>
                      <w:iCs/>
                      <w:lang w:eastAsia="ja-JP"/>
                    </w:rPr>
                    <w:t>≤</w:t>
                  </w:r>
                  <w:r>
                    <w:rPr>
                      <w:rFonts w:eastAsia="Yu Mincho"/>
                      <w:iCs/>
                      <w:lang w:eastAsia="ja-JP"/>
                    </w:rPr>
                    <w:t xml:space="preserve"> 320ms</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ceil(1.5*M*P*N)*max(T</w:t>
                  </w:r>
                  <w:r>
                    <w:rPr>
                      <w:rFonts w:eastAsia="Yu Mincho"/>
                      <w:iCs/>
                      <w:vertAlign w:val="subscript"/>
                      <w:lang w:eastAsia="ja-JP"/>
                    </w:rPr>
                    <w:t>DRX</w:t>
                  </w:r>
                  <w:r>
                    <w:rPr>
                      <w:rFonts w:eastAsia="Yu Mincho"/>
                      <w:iCs/>
                      <w:lang w:eastAsia="ja-JP"/>
                    </w:rPr>
                    <w:t>,T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DRX cycle &gt; 320ms</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ceil(1.5*M*P*N)*T</w:t>
                  </w:r>
                  <w:r>
                    <w:rPr>
                      <w:rFonts w:eastAsia="Yu Mincho"/>
                      <w:iCs/>
                      <w:vertAlign w:val="subscript"/>
                      <w:lang w:eastAsia="ja-JP"/>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Note 1:</w:t>
                  </w:r>
                  <w:r>
                    <w:rPr>
                      <w:rFonts w:eastAsia="Yu Mincho"/>
                      <w:iCs/>
                      <w:lang w:eastAsia="ja-JP"/>
                    </w:rPr>
                    <w:tab/>
                  </w:r>
                  <w:r>
                    <w:rPr>
                      <w:rFonts w:eastAsia="Yu Mincho"/>
                      <w:iCs/>
                      <w:lang w:eastAsia="ja-JP"/>
                    </w:rPr>
                    <w:t>T</w:t>
                  </w:r>
                  <w:r>
                    <w:rPr>
                      <w:rFonts w:eastAsia="Yu Mincho"/>
                      <w:iCs/>
                      <w:vertAlign w:val="subscript"/>
                      <w:lang w:eastAsia="ja-JP"/>
                    </w:rPr>
                    <w:t>SSB</w:t>
                  </w:r>
                  <w:r>
                    <w:rPr>
                      <w:rFonts w:eastAsia="Yu Mincho"/>
                      <w:iCs/>
                      <w:lang w:eastAsia="ja-JP"/>
                    </w:rPr>
                    <w:t xml:space="preserve"> = ssb-periodicityServingCell is the periodicity of the SSB-Index configured for L1-RSRP measurement. T</w:t>
                  </w:r>
                  <w:r>
                    <w:rPr>
                      <w:rFonts w:eastAsia="Yu Mincho"/>
                      <w:iCs/>
                      <w:vertAlign w:val="subscript"/>
                      <w:lang w:eastAsia="ja-JP"/>
                    </w:rPr>
                    <w:t xml:space="preserve">DRX </w:t>
                  </w:r>
                  <w:r>
                    <w:rPr>
                      <w:rFonts w:eastAsia="Yu Mincho"/>
                      <w:iCs/>
                      <w:lang w:eastAsia="ja-JP"/>
                    </w:rPr>
                    <w:t>is the DRX cycle length. T</w:t>
                  </w:r>
                  <w:r>
                    <w:rPr>
                      <w:rFonts w:eastAsia="Yu Mincho"/>
                      <w:iCs/>
                      <w:vertAlign w:val="subscript"/>
                      <w:lang w:eastAsia="ja-JP"/>
                    </w:rPr>
                    <w:t>Report</w:t>
                  </w:r>
                  <w:r>
                    <w:rPr>
                      <w:rFonts w:eastAsia="Yu Mincho"/>
                      <w:iCs/>
                      <w:lang w:eastAsia="ja-JP"/>
                    </w:rPr>
                    <w:t xml:space="preserve"> is configured periodicity for reporting.</w:t>
                  </w:r>
                </w:p>
                <w:p>
                  <w:pPr>
                    <w:spacing w:after="120"/>
                    <w:rPr>
                      <w:rFonts w:hint="default" w:eastAsia="宋体"/>
                      <w:iCs/>
                      <w:lang w:val="en-US" w:eastAsia="zh-CN"/>
                    </w:rPr>
                  </w:pPr>
                  <w:r>
                    <w:rPr>
                      <w:rFonts w:eastAsia="Yu Mincho"/>
                      <w:iCs/>
                      <w:lang w:eastAsia="ja-JP"/>
                    </w:rPr>
                    <w:t>Note 2:</w:t>
                  </w:r>
                  <w:r>
                    <w:rPr>
                      <w:rFonts w:eastAsia="Yu Mincho"/>
                      <w:iCs/>
                      <w:lang w:eastAsia="ja-JP"/>
                    </w:rPr>
                    <w:tab/>
                  </w:r>
                  <w:r>
                    <w:rPr>
                      <w:rFonts w:eastAsia="Yu Mincho"/>
                      <w:iCs/>
                      <w:lang w:eastAsia="ja-JP"/>
                    </w:rPr>
                    <w:t>N is FFS</w:t>
                  </w:r>
                  <w:r>
                    <w:rPr>
                      <w:rFonts w:hint="eastAsia" w:eastAsia="宋体"/>
                      <w:iCs/>
                      <w:lang w:val="en-US" w:eastAsia="zh-CN"/>
                    </w:rPr>
                    <w:t xml:space="preserve">  </w:t>
                  </w:r>
                </w:p>
              </w:tc>
            </w:tr>
          </w:tbl>
          <w:p>
            <w:pPr>
              <w:pStyle w:val="28"/>
              <w:numPr>
                <w:ilvl w:val="0"/>
                <w:numId w:val="9"/>
              </w:numPr>
              <w:ind w:left="660" w:leftChars="0"/>
              <w:rPr>
                <w:bCs/>
              </w:rPr>
            </w:pPr>
            <w:r>
              <w:rPr>
                <w:bCs/>
              </w:rPr>
              <w:t>N is FFS</w:t>
            </w:r>
          </w:p>
          <w:p>
            <w:pPr>
              <w:pStyle w:val="28"/>
              <w:numPr>
                <w:ilvl w:val="1"/>
                <w:numId w:val="9"/>
              </w:numPr>
              <w:ind w:left="1380" w:leftChars="0"/>
              <w:rPr>
                <w:bCs/>
              </w:rPr>
            </w:pPr>
            <w:r>
              <w:rPr>
                <w:bCs/>
              </w:rPr>
              <w:t xml:space="preserve">Option 1: N = [reduceNumberRxBeam] for UE supporting faster beam sweeping under multi-Rx operations; otherwise N=8. </w:t>
            </w:r>
          </w:p>
          <w:p>
            <w:pPr>
              <w:pStyle w:val="28"/>
              <w:numPr>
                <w:ilvl w:val="1"/>
                <w:numId w:val="9"/>
              </w:numPr>
              <w:ind w:left="1380" w:leftChars="0"/>
              <w:rPr>
                <w:bCs/>
              </w:rPr>
            </w:pPr>
            <w:r>
              <w:rPr>
                <w:bCs/>
              </w:rPr>
              <w:t xml:space="preserve">Option 2: N = 8 + K, where K is the number of SSBs in each CMR set </w:t>
            </w:r>
          </w:p>
          <w:p>
            <w:pPr>
              <w:pStyle w:val="28"/>
              <w:numPr>
                <w:ilvl w:val="0"/>
                <w:numId w:val="9"/>
              </w:numPr>
              <w:ind w:left="660" w:leftChars="0"/>
              <w:rPr>
                <w:rFonts w:hint="default" w:eastAsia="宋体"/>
                <w:color w:val="auto"/>
                <w:sz w:val="20"/>
                <w:szCs w:val="20"/>
                <w:vertAlign w:val="baseline"/>
                <w:lang w:val="en-US" w:eastAsia="zh-CN"/>
              </w:rPr>
            </w:pPr>
            <w:r>
              <w:rPr>
                <w:bCs/>
              </w:rPr>
              <w:t>FFS: For CSI-RS based L1-RSRP measurements in FR2, the existing L1-RSRP measurement period is reused when configured for GBBR.</w:t>
            </w:r>
            <w:r>
              <w:rPr>
                <w:rFonts w:hint="eastAsia"/>
                <w:bCs/>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If fast beam sweeping is applicable in GBBR measurement, based on our analysis in last section, N can be reduced from 8 to [4], so Option 1 is a direct expression of the fast beam sweeping. Regarding Option 2, after some offline discussion, we understand it can be shown as below in figure 6:</w:t>
      </w:r>
    </w:p>
    <w:p>
      <w:pPr>
        <w:pStyle w:val="8"/>
        <w:tabs>
          <w:tab w:val="left" w:pos="226"/>
          <w:tab w:val="left" w:pos="284"/>
          <w:tab w:val="left" w:pos="5103"/>
        </w:tabs>
        <w:snapToGrid w:val="0"/>
        <w:spacing w:before="156" w:beforeLines="50"/>
      </w:pPr>
      <w:r>
        <w:drawing>
          <wp:inline distT="0" distB="0" distL="114300" distR="114300">
            <wp:extent cx="5901055" cy="1165225"/>
            <wp:effectExtent l="0" t="0" r="1206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901055" cy="116522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lang w:val="en-US" w:eastAsia="zh-CN"/>
        </w:rPr>
      </w:pPr>
      <w:r>
        <w:rPr>
          <w:rFonts w:hint="eastAsia" w:eastAsia="宋体"/>
          <w:lang w:val="en-US" w:eastAsia="zh-CN"/>
        </w:rPr>
        <w:t>Figure 6. Option 2 of the SSB based GBBR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Since it has been assumed that for each time instance during GBBR measurement, only a single panel is applied. If follow the legacy UE behavior, during the first N samples, UE can only obtain the useful signal RSRP for each panel reception, the interference info from another TRP is uncertain. The additional K or 1 sample is to provide chance for UE to derive the interference RSRP from another TRP. Such procedure aim to guarantee UE choose the suitable beam pair with the consideration of both useful signal RSRP and interference RSRP. We believe the whole procedure and intention are reasonable, however such procedure does not apply any benefit from the fast beam sweeping.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As we analyze in last section, in fact the second assumption of fast beam sweeping can address the concern of interference, but it needs to enable simultaneous reception from two panels at a time, unfortunately which is not aligned with the assumption of single panel reception for GBBR measurement at a time instance. As a result, Alternative 1 for fast beam sweeping can be applied during GBBR measurement since only a single panel is used at a time instance but lack of interference info. So Option 1 is feasible given that the interference info from another TRP can be ignored. Under the deployment of UE locating in the middle area of two TRPs, normally the appropriate AoA offset can suppress the interference from another TRP.</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2: By applying the alternative 1 of fast beam sweeping, fast beam sweeping is applicable during GBBR measurement, then Option 1 is achieved for SSB based GBBR measurement period.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CSI-RS based, since no beam sweeping involved in, so reusing the existing L1-RSRP measurement period is preferred.</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For CSI-RS based L1-RSRP measurements in FR2, the existing L1-RSRP measurement period is reused when configured for GBBR.</w:t>
      </w:r>
    </w:p>
    <w:p>
      <w:pPr>
        <w:bidi w:val="0"/>
        <w:rPr>
          <w:rFonts w:hint="default"/>
          <w:u w:val="single"/>
          <w:lang w:val="en-US" w:eastAsia="zh-CN"/>
        </w:rPr>
      </w:pPr>
      <w:r>
        <w:rPr>
          <w:rFonts w:hint="eastAsia"/>
          <w:u w:val="single"/>
          <w:lang w:val="en-US" w:eastAsia="zh-CN"/>
        </w:rPr>
        <w:t>The enhanced measurement requirements for non-GBBR</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For non-GBBR L1-RSRP measurement, for SSB based, no constraint on the number of simultaneous reception panel, so for the UE capable of fast beam sweeping, both Alternative 1 and 2 can be applied, the N can also be reduced by applying fast beam sweeping, similar as that for GBBR measurement. So we prefer to reduce the beam sweeping factor N to enhance the measurement period. While for CSI-RS based, reuse the existing requirements is fine.</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For SSB based non-GBBR L1-RSRP measurement, the beam sweeping factor N can be reduced for the UE capable of fast beam sweeping. For CSI-RS based non-GBBR L1-RSRP measurement, reuse existing requirements if fine.</w:t>
      </w:r>
    </w:p>
    <w:p>
      <w:pPr>
        <w:pStyle w:val="3"/>
        <w:bidi w:val="0"/>
        <w:rPr>
          <w:rFonts w:hint="default"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Others</w:t>
      </w:r>
    </w:p>
    <w:p>
      <w:pPr>
        <w:bidi w:val="0"/>
        <w:rPr>
          <w:rFonts w:hint="eastAsia"/>
          <w:u w:val="single"/>
          <w:lang w:val="en-US" w:eastAsia="zh-CN"/>
        </w:rPr>
      </w:pPr>
      <w:r>
        <w:rPr>
          <w:rFonts w:hint="eastAsia"/>
          <w:u w:val="single"/>
          <w:lang w:val="en-US" w:eastAsia="zh-CN"/>
        </w:rPr>
        <w:t>Whether to define the L1-SINR requirements for multi-Rx UE</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This issue was discussed in last meeting while no conclusion achieved. Since R17 GBBR only considers the L1-RSRP measurement and report, not referring to L1-SINR measurement and report. Therefore for L1-SINR requirement, only need to consider the L1-SINR requirements for non-GBBR measurement.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From the perspective of measurement period, the requirement for L1-RSRP measurement and that for L1-SINR measurement are similar, so it is reasonable to leverage the enhancement for L1-RSRP measurement to the L1-SINR measurement. In detail, the fast beam sweeping can be applied for L1-SINR measurement for non-GBBR.</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Changes in non-group-based L1-RSRP measurement delay due to multi Rx operation are also considered for L1-SINR</w:t>
      </w:r>
    </w:p>
    <w:p>
      <w:pPr>
        <w:bidi w:val="0"/>
        <w:rPr>
          <w:rFonts w:hint="eastAsia"/>
          <w:u w:val="single"/>
          <w:lang w:val="en-US" w:eastAsia="zh-CN"/>
        </w:rPr>
      </w:pPr>
      <w:r>
        <w:rPr>
          <w:rFonts w:hint="eastAsia"/>
          <w:u w:val="single"/>
          <w:lang w:val="en-US" w:eastAsia="zh-CN"/>
        </w:rPr>
        <w:t>UE behaviour at transitions between single-RX and multi-RX operation modes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 condition of measurement/scheduling restriction relaxation has been generally identified, multi-Rx operation is one of the condition, so the transition between single-RX and multi-RX operation would of course impact the measurement/scheduling restriction relaxation. When UE operates in single-Rx mode, existing measurement/scheduling restriction is applied, no relaxation. While if UE operates in multi-Rx mode, the enhanced measurement/scheduling restriction i.e. relaxation is achieved.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The transition between single-RX and multi-RX operation modes would impact the measurement/scheduling restriction.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olor w:val="auto"/>
          <w:sz w:val="20"/>
          <w:szCs w:val="20"/>
          <w:lang w:val="en-US" w:eastAsia="zh-CN"/>
        </w:rPr>
        <w:t>Regarding the fast beam sweeping and measurement period, which depend on the decision of general issue, we can wait for the output of that issue.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Observation 1: Alternative 1 of fast beam sweeping is: UE derives the relationship between multiple sub-set of beams and multiple panels through some prior information, so for the receiving of RS or PDSCH/PDCCH, UE can predict which panel is involved in, so only a sub-set of beam sweeping(corresponding the relevant panel) is performed, N can be reduced from 8 to [4].</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Alternative 2 of fast beam sweeping is: UE detects a pair of beams at each RS instance in parallel by two panels, and each panel covers a sub set of beams. Then the N can be reduced to [4] from 8. The multi-panel operation should be guaranteed during the fast beam sweeping.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Under different implementation assumption of fast beam sweeping, whether need to guarantee the multi-panel operation, which is different. So first to align companies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view on the implementation assumption of fast beam sweeping.</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2: By applying the alternative 2 of fast beam sweeping, both useful signaling RSRP and interference RSRP can be obtained during fast beam sweeping, Option 1 is preferred for SSB based GBBR measurement period.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For CSI-RS based L1-RSRP measurements in FR2, the existing L1-RSRP measurement period is reused when configured for GBBR.</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For SSB based non-GBBR L1-RSRP measurement, the beam sweeping factor N can be reduced for the UE capable of fast beam sweeping. For CSI-RS based non-GBBR L1-RSRP measurement, reuse existing requirements if fine.</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Changes in non-group-based L1-RSRP measurement delay due to multi Rx operation are also considered for L1-SINR</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The transition between single-RX and multi-RX operation modes would impact the measurement/scheduling restriction.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R4-2317427 </w:t>
      </w:r>
      <w:r>
        <w:rPr>
          <w:rFonts w:hint="default"/>
          <w:color w:val="auto"/>
          <w:highlight w:val="none"/>
          <w:lang w:val="en-US" w:eastAsia="zh-CN"/>
        </w:rPr>
        <w:t>“</w:t>
      </w:r>
      <w:r>
        <w:rPr>
          <w:rFonts w:hint="eastAsia"/>
          <w:color w:val="auto"/>
          <w:highlight w:val="none"/>
          <w:lang w:val="en-US" w:eastAsia="zh-CN"/>
        </w:rPr>
        <w:t>WF on FR2 multi-Rx chain DL reception (part2)</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07404CC7"/>
    <w:multiLevelType w:val="multilevel"/>
    <w:tmpl w:val="07404CC7"/>
    <w:lvl w:ilvl="0" w:tentative="0">
      <w:start w:val="1"/>
      <w:numFmt w:val="bullet"/>
      <w:lvlText w:val=""/>
      <w:lvlJc w:val="left"/>
      <w:pPr>
        <w:ind w:left="2348" w:hanging="360"/>
      </w:pPr>
      <w:rPr>
        <w:rFonts w:hint="default" w:ascii="Symbol" w:hAnsi="Symbol"/>
      </w:rPr>
    </w:lvl>
    <w:lvl w:ilvl="1" w:tentative="0">
      <w:start w:val="1"/>
      <w:numFmt w:val="bullet"/>
      <w:lvlText w:val="o"/>
      <w:lvlJc w:val="left"/>
      <w:pPr>
        <w:ind w:left="3068" w:hanging="360"/>
      </w:pPr>
      <w:rPr>
        <w:rFonts w:hint="default" w:ascii="Courier New" w:hAnsi="Courier New" w:cs="Courier New"/>
      </w:rPr>
    </w:lvl>
    <w:lvl w:ilvl="2" w:tentative="0">
      <w:start w:val="1"/>
      <w:numFmt w:val="bullet"/>
      <w:lvlText w:val=""/>
      <w:lvlJc w:val="left"/>
      <w:pPr>
        <w:ind w:left="3788" w:hanging="360"/>
      </w:pPr>
      <w:rPr>
        <w:rFonts w:hint="default" w:ascii="Wingdings" w:hAnsi="Wingdings"/>
      </w:rPr>
    </w:lvl>
    <w:lvl w:ilvl="3" w:tentative="0">
      <w:start w:val="1"/>
      <w:numFmt w:val="bullet"/>
      <w:lvlText w:val=""/>
      <w:lvlJc w:val="left"/>
      <w:pPr>
        <w:ind w:left="4508" w:hanging="360"/>
      </w:pPr>
      <w:rPr>
        <w:rFonts w:hint="default" w:ascii="Symbol" w:hAnsi="Symbol"/>
      </w:rPr>
    </w:lvl>
    <w:lvl w:ilvl="4" w:tentative="0">
      <w:start w:val="1"/>
      <w:numFmt w:val="bullet"/>
      <w:lvlText w:val="o"/>
      <w:lvlJc w:val="left"/>
      <w:pPr>
        <w:ind w:left="5228" w:hanging="360"/>
      </w:pPr>
      <w:rPr>
        <w:rFonts w:hint="default" w:ascii="Courier New" w:hAnsi="Courier New" w:cs="Courier New"/>
      </w:rPr>
    </w:lvl>
    <w:lvl w:ilvl="5" w:tentative="0">
      <w:start w:val="1"/>
      <w:numFmt w:val="bullet"/>
      <w:lvlText w:val=""/>
      <w:lvlJc w:val="left"/>
      <w:pPr>
        <w:ind w:left="5948" w:hanging="360"/>
      </w:pPr>
      <w:rPr>
        <w:rFonts w:hint="default" w:ascii="Wingdings" w:hAnsi="Wingdings"/>
      </w:rPr>
    </w:lvl>
    <w:lvl w:ilvl="6" w:tentative="0">
      <w:start w:val="1"/>
      <w:numFmt w:val="bullet"/>
      <w:lvlText w:val=""/>
      <w:lvlJc w:val="left"/>
      <w:pPr>
        <w:ind w:left="6668" w:hanging="360"/>
      </w:pPr>
      <w:rPr>
        <w:rFonts w:hint="default" w:ascii="Symbol" w:hAnsi="Symbol"/>
      </w:rPr>
    </w:lvl>
    <w:lvl w:ilvl="7" w:tentative="0">
      <w:start w:val="1"/>
      <w:numFmt w:val="bullet"/>
      <w:lvlText w:val="o"/>
      <w:lvlJc w:val="left"/>
      <w:pPr>
        <w:ind w:left="7388" w:hanging="360"/>
      </w:pPr>
      <w:rPr>
        <w:rFonts w:hint="default" w:ascii="Courier New" w:hAnsi="Courier New" w:cs="Courier New"/>
      </w:rPr>
    </w:lvl>
    <w:lvl w:ilvl="8" w:tentative="0">
      <w:start w:val="1"/>
      <w:numFmt w:val="bullet"/>
      <w:lvlText w:val=""/>
      <w:lvlJc w:val="left"/>
      <w:pPr>
        <w:ind w:left="8108"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A794F1B"/>
    <w:multiLevelType w:val="multilevel"/>
    <w:tmpl w:val="1A794F1B"/>
    <w:lvl w:ilvl="0" w:tentative="0">
      <w:start w:val="1"/>
      <w:numFmt w:val="bullet"/>
      <w:lvlText w:val=""/>
      <w:lvlJc w:val="left"/>
      <w:pPr>
        <w:ind w:left="2016" w:hanging="360"/>
      </w:pPr>
      <w:rPr>
        <w:rFonts w:hint="default" w:ascii="Symbol" w:hAnsi="Symbol"/>
      </w:rPr>
    </w:lvl>
    <w:lvl w:ilvl="1" w:tentative="0">
      <w:start w:val="1"/>
      <w:numFmt w:val="bullet"/>
      <w:lvlText w:val="o"/>
      <w:lvlJc w:val="left"/>
      <w:pPr>
        <w:ind w:left="2736" w:hanging="360"/>
      </w:pPr>
      <w:rPr>
        <w:rFonts w:hint="default" w:ascii="Courier New" w:hAnsi="Courier New" w:cs="Courier New"/>
      </w:rPr>
    </w:lvl>
    <w:lvl w:ilvl="2" w:tentative="0">
      <w:start w:val="1"/>
      <w:numFmt w:val="bullet"/>
      <w:lvlText w:val=""/>
      <w:lvlJc w:val="left"/>
      <w:pPr>
        <w:ind w:left="3456" w:hanging="360"/>
      </w:pPr>
      <w:rPr>
        <w:rFonts w:hint="default" w:ascii="Wingdings" w:hAnsi="Wingdings"/>
      </w:rPr>
    </w:lvl>
    <w:lvl w:ilvl="3" w:tentative="0">
      <w:start w:val="1"/>
      <w:numFmt w:val="bullet"/>
      <w:lvlText w:val=""/>
      <w:lvlJc w:val="left"/>
      <w:pPr>
        <w:ind w:left="4176" w:hanging="360"/>
      </w:pPr>
      <w:rPr>
        <w:rFonts w:hint="default" w:ascii="Symbol" w:hAnsi="Symbol"/>
      </w:rPr>
    </w:lvl>
    <w:lvl w:ilvl="4" w:tentative="0">
      <w:start w:val="1"/>
      <w:numFmt w:val="bullet"/>
      <w:lvlText w:val="o"/>
      <w:lvlJc w:val="left"/>
      <w:pPr>
        <w:ind w:left="4896" w:hanging="360"/>
      </w:pPr>
      <w:rPr>
        <w:rFonts w:hint="default" w:ascii="Courier New" w:hAnsi="Courier New" w:cs="Courier New"/>
      </w:rPr>
    </w:lvl>
    <w:lvl w:ilvl="5" w:tentative="0">
      <w:start w:val="1"/>
      <w:numFmt w:val="bullet"/>
      <w:lvlText w:val=""/>
      <w:lvlJc w:val="left"/>
      <w:pPr>
        <w:ind w:left="5616" w:hanging="360"/>
      </w:pPr>
      <w:rPr>
        <w:rFonts w:hint="default" w:ascii="Wingdings" w:hAnsi="Wingdings"/>
      </w:rPr>
    </w:lvl>
    <w:lvl w:ilvl="6" w:tentative="0">
      <w:start w:val="1"/>
      <w:numFmt w:val="bullet"/>
      <w:lvlText w:val=""/>
      <w:lvlJc w:val="left"/>
      <w:pPr>
        <w:ind w:left="6336" w:hanging="360"/>
      </w:pPr>
      <w:rPr>
        <w:rFonts w:hint="default" w:ascii="Symbol" w:hAnsi="Symbol"/>
      </w:rPr>
    </w:lvl>
    <w:lvl w:ilvl="7" w:tentative="0">
      <w:start w:val="1"/>
      <w:numFmt w:val="bullet"/>
      <w:lvlText w:val="o"/>
      <w:lvlJc w:val="left"/>
      <w:pPr>
        <w:ind w:left="7056" w:hanging="360"/>
      </w:pPr>
      <w:rPr>
        <w:rFonts w:hint="default" w:ascii="Courier New" w:hAnsi="Courier New" w:cs="Courier New"/>
      </w:rPr>
    </w:lvl>
    <w:lvl w:ilvl="8" w:tentative="0">
      <w:start w:val="1"/>
      <w:numFmt w:val="bullet"/>
      <w:lvlText w:val=""/>
      <w:lvlJc w:val="left"/>
      <w:pPr>
        <w:ind w:left="7776" w:hanging="360"/>
      </w:pPr>
      <w:rPr>
        <w:rFonts w:hint="default" w:ascii="Wingdings" w:hAnsi="Wingdings"/>
      </w:rPr>
    </w:lvl>
  </w:abstractNum>
  <w:abstractNum w:abstractNumId="4">
    <w:nsid w:val="426E2D24"/>
    <w:multiLevelType w:val="multilevel"/>
    <w:tmpl w:val="426E2D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3333EBA"/>
    <w:multiLevelType w:val="singleLevel"/>
    <w:tmpl w:val="53333EBA"/>
    <w:lvl w:ilvl="0" w:tentative="0">
      <w:start w:val="1"/>
      <w:numFmt w:val="bullet"/>
      <w:lvlText w:val=""/>
      <w:lvlJc w:val="left"/>
      <w:pPr>
        <w:ind w:left="42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8">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5"/>
  </w:num>
  <w:num w:numId="3">
    <w:abstractNumId w:val="7"/>
  </w:num>
  <w:num w:numId="4">
    <w:abstractNumId w:val="2"/>
  </w:num>
  <w:num w:numId="5">
    <w:abstractNumId w:val="3"/>
  </w:num>
  <w:num w:numId="6">
    <w:abstractNumId w:val="1"/>
  </w:num>
  <w:num w:numId="7">
    <w:abstractNumId w:val="4"/>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D25E9"/>
    <w:rsid w:val="02122247"/>
    <w:rsid w:val="02150C3F"/>
    <w:rsid w:val="022C3A09"/>
    <w:rsid w:val="0246140E"/>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7ED21CA"/>
    <w:rsid w:val="084B363C"/>
    <w:rsid w:val="0855671D"/>
    <w:rsid w:val="089009EB"/>
    <w:rsid w:val="09716BCA"/>
    <w:rsid w:val="098C1CEA"/>
    <w:rsid w:val="09902DFD"/>
    <w:rsid w:val="09D64B23"/>
    <w:rsid w:val="09E644B8"/>
    <w:rsid w:val="0B12013A"/>
    <w:rsid w:val="0B12526E"/>
    <w:rsid w:val="0B1C5C6A"/>
    <w:rsid w:val="0B243EFB"/>
    <w:rsid w:val="0B3D3C2F"/>
    <w:rsid w:val="0B5D15B4"/>
    <w:rsid w:val="0B680E37"/>
    <w:rsid w:val="0BAC06FA"/>
    <w:rsid w:val="0BB0429A"/>
    <w:rsid w:val="0BFF5FC6"/>
    <w:rsid w:val="0C276675"/>
    <w:rsid w:val="0C394019"/>
    <w:rsid w:val="0EC91588"/>
    <w:rsid w:val="0F6C0B73"/>
    <w:rsid w:val="0F8009F9"/>
    <w:rsid w:val="10997F43"/>
    <w:rsid w:val="10DE7BAE"/>
    <w:rsid w:val="11023BFD"/>
    <w:rsid w:val="110404BB"/>
    <w:rsid w:val="111C20F6"/>
    <w:rsid w:val="117E1CB2"/>
    <w:rsid w:val="11B9344A"/>
    <w:rsid w:val="11ED345F"/>
    <w:rsid w:val="11EE68B9"/>
    <w:rsid w:val="120774A3"/>
    <w:rsid w:val="12580C13"/>
    <w:rsid w:val="130B3696"/>
    <w:rsid w:val="14006D19"/>
    <w:rsid w:val="1414436B"/>
    <w:rsid w:val="14330E67"/>
    <w:rsid w:val="146C04F1"/>
    <w:rsid w:val="1481754F"/>
    <w:rsid w:val="148F5721"/>
    <w:rsid w:val="14AC57CD"/>
    <w:rsid w:val="14B14D17"/>
    <w:rsid w:val="15393625"/>
    <w:rsid w:val="15ED3E9B"/>
    <w:rsid w:val="15FB179E"/>
    <w:rsid w:val="164514BE"/>
    <w:rsid w:val="167821BF"/>
    <w:rsid w:val="170F06AA"/>
    <w:rsid w:val="17225508"/>
    <w:rsid w:val="180A6E32"/>
    <w:rsid w:val="18362E8E"/>
    <w:rsid w:val="183F2CD2"/>
    <w:rsid w:val="1856323E"/>
    <w:rsid w:val="187F54FA"/>
    <w:rsid w:val="18892FF8"/>
    <w:rsid w:val="18AF55E3"/>
    <w:rsid w:val="18B1519A"/>
    <w:rsid w:val="18CD0507"/>
    <w:rsid w:val="195D7D48"/>
    <w:rsid w:val="19852D03"/>
    <w:rsid w:val="19BB3C55"/>
    <w:rsid w:val="1A6F1A83"/>
    <w:rsid w:val="1AD01A1B"/>
    <w:rsid w:val="1B24186C"/>
    <w:rsid w:val="1B4C5221"/>
    <w:rsid w:val="1B61065A"/>
    <w:rsid w:val="1BBF3927"/>
    <w:rsid w:val="1BF813DF"/>
    <w:rsid w:val="1C177B08"/>
    <w:rsid w:val="1C397865"/>
    <w:rsid w:val="1C647BBB"/>
    <w:rsid w:val="1C9001C6"/>
    <w:rsid w:val="1CBA2101"/>
    <w:rsid w:val="1D0573D7"/>
    <w:rsid w:val="1D153DC4"/>
    <w:rsid w:val="1D223E0B"/>
    <w:rsid w:val="1D3A54CD"/>
    <w:rsid w:val="1DF33EB1"/>
    <w:rsid w:val="1E132F88"/>
    <w:rsid w:val="1E2867E9"/>
    <w:rsid w:val="1E853F6F"/>
    <w:rsid w:val="1E9C7BCC"/>
    <w:rsid w:val="1EB86E7D"/>
    <w:rsid w:val="1ECC1E3C"/>
    <w:rsid w:val="1FC75F31"/>
    <w:rsid w:val="1FFD4083"/>
    <w:rsid w:val="20122D1B"/>
    <w:rsid w:val="202F3D4C"/>
    <w:rsid w:val="20874C29"/>
    <w:rsid w:val="20E2786E"/>
    <w:rsid w:val="21014C39"/>
    <w:rsid w:val="21045DF0"/>
    <w:rsid w:val="21244EB1"/>
    <w:rsid w:val="213964D8"/>
    <w:rsid w:val="21595D04"/>
    <w:rsid w:val="21835807"/>
    <w:rsid w:val="21F13629"/>
    <w:rsid w:val="2305377E"/>
    <w:rsid w:val="2319700A"/>
    <w:rsid w:val="231A76D5"/>
    <w:rsid w:val="237746D1"/>
    <w:rsid w:val="23BE460D"/>
    <w:rsid w:val="24122135"/>
    <w:rsid w:val="24D4257E"/>
    <w:rsid w:val="24F5519F"/>
    <w:rsid w:val="25253F04"/>
    <w:rsid w:val="2572202B"/>
    <w:rsid w:val="25AE612B"/>
    <w:rsid w:val="25B54731"/>
    <w:rsid w:val="25E7100D"/>
    <w:rsid w:val="2605683C"/>
    <w:rsid w:val="263604A5"/>
    <w:rsid w:val="26661176"/>
    <w:rsid w:val="26BB1419"/>
    <w:rsid w:val="27315D1D"/>
    <w:rsid w:val="27B748AA"/>
    <w:rsid w:val="27CB4CB9"/>
    <w:rsid w:val="27CC4452"/>
    <w:rsid w:val="28033332"/>
    <w:rsid w:val="281C2F58"/>
    <w:rsid w:val="28365E09"/>
    <w:rsid w:val="2844775F"/>
    <w:rsid w:val="28A67133"/>
    <w:rsid w:val="292D5BF2"/>
    <w:rsid w:val="292F6239"/>
    <w:rsid w:val="29642C4B"/>
    <w:rsid w:val="29A66B9A"/>
    <w:rsid w:val="2A34628C"/>
    <w:rsid w:val="2A724D05"/>
    <w:rsid w:val="2A7E505C"/>
    <w:rsid w:val="2AC85686"/>
    <w:rsid w:val="2AD04B5F"/>
    <w:rsid w:val="2B39549B"/>
    <w:rsid w:val="2B8F034A"/>
    <w:rsid w:val="2BA94DC7"/>
    <w:rsid w:val="2BC05B2C"/>
    <w:rsid w:val="2BD617C5"/>
    <w:rsid w:val="2C112837"/>
    <w:rsid w:val="2C360608"/>
    <w:rsid w:val="2D3B30E1"/>
    <w:rsid w:val="2E014790"/>
    <w:rsid w:val="2E3C43E6"/>
    <w:rsid w:val="2E3D3784"/>
    <w:rsid w:val="2EAE66A3"/>
    <w:rsid w:val="2EE77680"/>
    <w:rsid w:val="2F2F0FC8"/>
    <w:rsid w:val="2F591020"/>
    <w:rsid w:val="2F8E63A4"/>
    <w:rsid w:val="301C6BB6"/>
    <w:rsid w:val="30723652"/>
    <w:rsid w:val="30766FB2"/>
    <w:rsid w:val="31687544"/>
    <w:rsid w:val="319708F2"/>
    <w:rsid w:val="31B14C9E"/>
    <w:rsid w:val="31FE2981"/>
    <w:rsid w:val="32980539"/>
    <w:rsid w:val="33170395"/>
    <w:rsid w:val="33C522D7"/>
    <w:rsid w:val="33EE09D6"/>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AA6FE7"/>
    <w:rsid w:val="3BE160AB"/>
    <w:rsid w:val="3BEA7D63"/>
    <w:rsid w:val="3CE4646B"/>
    <w:rsid w:val="3D5E7AA8"/>
    <w:rsid w:val="3D6F2596"/>
    <w:rsid w:val="3F5E503E"/>
    <w:rsid w:val="3FA3488F"/>
    <w:rsid w:val="40060459"/>
    <w:rsid w:val="405F175E"/>
    <w:rsid w:val="40737877"/>
    <w:rsid w:val="40A811A8"/>
    <w:rsid w:val="40C765F3"/>
    <w:rsid w:val="41C755BE"/>
    <w:rsid w:val="41EF183A"/>
    <w:rsid w:val="42424160"/>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6F866D1"/>
    <w:rsid w:val="47282363"/>
    <w:rsid w:val="476B3528"/>
    <w:rsid w:val="47C726B0"/>
    <w:rsid w:val="49DC4EAC"/>
    <w:rsid w:val="49E55BC5"/>
    <w:rsid w:val="4A03035B"/>
    <w:rsid w:val="4C1C63D6"/>
    <w:rsid w:val="4C864A35"/>
    <w:rsid w:val="4C9C556F"/>
    <w:rsid w:val="4CA20EC7"/>
    <w:rsid w:val="4E015C76"/>
    <w:rsid w:val="4E310026"/>
    <w:rsid w:val="4E4A2325"/>
    <w:rsid w:val="4E593663"/>
    <w:rsid w:val="4E702749"/>
    <w:rsid w:val="4EC85323"/>
    <w:rsid w:val="4EDB3464"/>
    <w:rsid w:val="4FA2192A"/>
    <w:rsid w:val="4FE973EB"/>
    <w:rsid w:val="501A6C55"/>
    <w:rsid w:val="50AD31B7"/>
    <w:rsid w:val="511F73F9"/>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3B417D"/>
    <w:rsid w:val="55B1164D"/>
    <w:rsid w:val="55B4735E"/>
    <w:rsid w:val="55BB221D"/>
    <w:rsid w:val="55D64ABB"/>
    <w:rsid w:val="56371459"/>
    <w:rsid w:val="56484633"/>
    <w:rsid w:val="574B3EB2"/>
    <w:rsid w:val="574F134B"/>
    <w:rsid w:val="577823B2"/>
    <w:rsid w:val="58D0053D"/>
    <w:rsid w:val="59064002"/>
    <w:rsid w:val="59303800"/>
    <w:rsid w:val="596A1AB3"/>
    <w:rsid w:val="598C40A0"/>
    <w:rsid w:val="59DA647E"/>
    <w:rsid w:val="59EF102F"/>
    <w:rsid w:val="5A4D0D18"/>
    <w:rsid w:val="5A556E1A"/>
    <w:rsid w:val="5ABD6B5A"/>
    <w:rsid w:val="5AD04359"/>
    <w:rsid w:val="5B655329"/>
    <w:rsid w:val="5C1166E3"/>
    <w:rsid w:val="5C204854"/>
    <w:rsid w:val="5C811C94"/>
    <w:rsid w:val="5CEA5E4B"/>
    <w:rsid w:val="5D011808"/>
    <w:rsid w:val="5DE74DD6"/>
    <w:rsid w:val="5E2864D0"/>
    <w:rsid w:val="5E494511"/>
    <w:rsid w:val="5E617EB9"/>
    <w:rsid w:val="5EB44FC0"/>
    <w:rsid w:val="5EB81F13"/>
    <w:rsid w:val="5EDA64BC"/>
    <w:rsid w:val="5FBA395F"/>
    <w:rsid w:val="5FCA785E"/>
    <w:rsid w:val="60B92183"/>
    <w:rsid w:val="60EC2CBA"/>
    <w:rsid w:val="61661B78"/>
    <w:rsid w:val="61CC2D28"/>
    <w:rsid w:val="62DE3B93"/>
    <w:rsid w:val="630C63B9"/>
    <w:rsid w:val="63447B86"/>
    <w:rsid w:val="63454F29"/>
    <w:rsid w:val="635902CD"/>
    <w:rsid w:val="63A847E0"/>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5D64DC"/>
    <w:rsid w:val="69686213"/>
    <w:rsid w:val="6968769B"/>
    <w:rsid w:val="69831B57"/>
    <w:rsid w:val="69A833BD"/>
    <w:rsid w:val="69FB3F8F"/>
    <w:rsid w:val="6A5D78D5"/>
    <w:rsid w:val="6A85354A"/>
    <w:rsid w:val="6B5A3793"/>
    <w:rsid w:val="6C4E0A66"/>
    <w:rsid w:val="6C8E0C06"/>
    <w:rsid w:val="6CEA79B8"/>
    <w:rsid w:val="6D566F0F"/>
    <w:rsid w:val="6D836F72"/>
    <w:rsid w:val="6DC2026F"/>
    <w:rsid w:val="6DDE3DAF"/>
    <w:rsid w:val="6E281030"/>
    <w:rsid w:val="6E2C7D5B"/>
    <w:rsid w:val="6E3241BE"/>
    <w:rsid w:val="6EB97A9D"/>
    <w:rsid w:val="6EF10A90"/>
    <w:rsid w:val="6FD45BF8"/>
    <w:rsid w:val="6FFF1868"/>
    <w:rsid w:val="70332195"/>
    <w:rsid w:val="70A20D5A"/>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5EF0B62"/>
    <w:rsid w:val="760F5DAE"/>
    <w:rsid w:val="762D64F3"/>
    <w:rsid w:val="763E0D7C"/>
    <w:rsid w:val="76761433"/>
    <w:rsid w:val="767E7EFF"/>
    <w:rsid w:val="76C20482"/>
    <w:rsid w:val="775B4604"/>
    <w:rsid w:val="77B55917"/>
    <w:rsid w:val="77C067C3"/>
    <w:rsid w:val="77EA64D7"/>
    <w:rsid w:val="78911E31"/>
    <w:rsid w:val="78A33286"/>
    <w:rsid w:val="7922350F"/>
    <w:rsid w:val="792B5470"/>
    <w:rsid w:val="79762E65"/>
    <w:rsid w:val="79C637D8"/>
    <w:rsid w:val="7A7F40B1"/>
    <w:rsid w:val="7A9367CB"/>
    <w:rsid w:val="7AA10DE7"/>
    <w:rsid w:val="7AF22571"/>
    <w:rsid w:val="7B626FA0"/>
    <w:rsid w:val="7B69224B"/>
    <w:rsid w:val="7B6E5110"/>
    <w:rsid w:val="7BE80F25"/>
    <w:rsid w:val="7C036618"/>
    <w:rsid w:val="7C1C35A7"/>
    <w:rsid w:val="7C45431D"/>
    <w:rsid w:val="7D243E1C"/>
    <w:rsid w:val="7D3219D5"/>
    <w:rsid w:val="7DDD0501"/>
    <w:rsid w:val="7DE51372"/>
    <w:rsid w:val="7E3F4005"/>
    <w:rsid w:val="7E5E590F"/>
    <w:rsid w:val="7E935AFB"/>
    <w:rsid w:val="7EAF1137"/>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2023-11-03T16:17:59Z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C4DBDF87124D4C7EBEE65EDD26358105</vt:lpwstr>
  </property>
</Properties>
</file>